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BF8" w:rsidRPr="00767768" w:rsidRDefault="00E62BF8" w:rsidP="00D81C50">
      <w:pPr>
        <w:snapToGrid w:val="0"/>
        <w:jc w:val="center"/>
        <w:rPr>
          <w:rFonts w:ascii="標楷體" w:eastAsia="標楷體" w:hAnsi="標楷體" w:cs="Times New Roman"/>
          <w:b/>
          <w:sz w:val="36"/>
          <w:szCs w:val="36"/>
        </w:rPr>
      </w:pPr>
      <w:r w:rsidRPr="00767768">
        <w:rPr>
          <w:rFonts w:ascii="標楷體" w:eastAsia="標楷體" w:hAnsi="標楷體" w:cs="Times New Roman"/>
          <w:b/>
          <w:sz w:val="36"/>
          <w:szCs w:val="36"/>
        </w:rPr>
        <w:t>第十章　結說</w:t>
      </w:r>
    </w:p>
    <w:p w:rsidR="00E62BF8" w:rsidRPr="00767768" w:rsidRDefault="00E62BF8" w:rsidP="00461253">
      <w:pPr>
        <w:snapToGrid w:val="0"/>
        <w:jc w:val="center"/>
        <w:rPr>
          <w:rFonts w:ascii="Times New Roman" w:eastAsia="新細明體" w:hAnsi="Times New Roman" w:cs="Times New Roman"/>
        </w:rPr>
      </w:pPr>
      <w:r w:rsidRPr="00767768">
        <w:rPr>
          <w:rFonts w:ascii="Times New Roman" w:eastAsia="新細明體" w:hAnsi="Times New Roman" w:cs="Times New Roman"/>
        </w:rPr>
        <w:t>（</w:t>
      </w:r>
      <w:r w:rsidRPr="00767768">
        <w:rPr>
          <w:rFonts w:ascii="Times New Roman" w:eastAsia="新細明體" w:hAnsi="Times New Roman" w:cs="Times New Roman"/>
        </w:rPr>
        <w:t>pp.5</w:t>
      </w:r>
      <w:r w:rsidR="00461253">
        <w:rPr>
          <w:rFonts w:ascii="Times New Roman" w:eastAsia="新細明體" w:hAnsi="Times New Roman" w:cs="Times New Roman" w:hint="eastAsia"/>
        </w:rPr>
        <w:t>5</w:t>
      </w:r>
      <w:r w:rsidRPr="00767768">
        <w:rPr>
          <w:rFonts w:ascii="Times New Roman" w:eastAsia="新細明體" w:hAnsi="Times New Roman" w:cs="Times New Roman"/>
        </w:rPr>
        <w:t>3-554</w:t>
      </w:r>
      <w:r w:rsidRPr="00767768">
        <w:rPr>
          <w:rFonts w:ascii="Times New Roman" w:eastAsia="新細明體" w:hAnsi="Times New Roman" w:cs="Times New Roman"/>
        </w:rPr>
        <w:t>）</w:t>
      </w:r>
    </w:p>
    <w:p w:rsidR="00D81C50" w:rsidRPr="00767768" w:rsidRDefault="00D81C50" w:rsidP="00D81C50">
      <w:pPr>
        <w:snapToGrid w:val="0"/>
        <w:ind w:rightChars="30" w:right="72"/>
        <w:jc w:val="right"/>
        <w:rPr>
          <w:rFonts w:ascii="新細明體" w:eastAsia="新細明體" w:hAnsi="新細明體"/>
          <w:b/>
          <w:lang w:val="es-ES"/>
        </w:rPr>
      </w:pPr>
      <w:r w:rsidRPr="00767768">
        <w:rPr>
          <w:rFonts w:ascii="新細明體" w:eastAsia="新細明體" w:hAnsi="新細明體" w:hint="eastAsia"/>
          <w:sz w:val="20"/>
          <w:szCs w:val="20"/>
          <w:lang w:val="es-ES"/>
        </w:rPr>
        <w:t>指導老師：</w:t>
      </w:r>
      <w:r w:rsidRPr="00767768">
        <w:rPr>
          <w:rFonts w:ascii="新細明體" w:eastAsia="新細明體" w:hAnsi="新細明體" w:hint="eastAsia"/>
          <w:sz w:val="20"/>
          <w:szCs w:val="20"/>
          <w:vertAlign w:val="superscript"/>
          <w:lang w:val="es-ES"/>
        </w:rPr>
        <w:t>上</w:t>
      </w:r>
      <w:r w:rsidRPr="00767768">
        <w:rPr>
          <w:rFonts w:ascii="新細明體" w:eastAsia="新細明體" w:hAnsi="新細明體" w:hint="eastAsia"/>
          <w:sz w:val="20"/>
          <w:szCs w:val="20"/>
          <w:lang w:val="es-ES"/>
        </w:rPr>
        <w:t>宗</w:t>
      </w:r>
      <w:r w:rsidRPr="00767768">
        <w:rPr>
          <w:rFonts w:ascii="新細明體" w:eastAsia="新細明體" w:hAnsi="新細明體" w:hint="eastAsia"/>
          <w:sz w:val="20"/>
          <w:szCs w:val="20"/>
          <w:vertAlign w:val="superscript"/>
          <w:lang w:val="es-ES"/>
        </w:rPr>
        <w:t>下</w:t>
      </w:r>
      <w:r w:rsidRPr="00767768">
        <w:rPr>
          <w:rFonts w:ascii="新細明體" w:eastAsia="新細明體" w:hAnsi="新細明體" w:hint="eastAsia"/>
          <w:sz w:val="20"/>
          <w:szCs w:val="20"/>
          <w:lang w:val="es-ES"/>
        </w:rPr>
        <w:t>證法師</w:t>
      </w:r>
    </w:p>
    <w:p w:rsidR="00D81C50" w:rsidRPr="00767768" w:rsidRDefault="00D81C50" w:rsidP="00D81C50">
      <w:pPr>
        <w:snapToGrid w:val="0"/>
        <w:ind w:rightChars="30" w:right="72"/>
        <w:jc w:val="right"/>
        <w:rPr>
          <w:rFonts w:eastAsia="SimSun"/>
          <w:sz w:val="20"/>
          <w:szCs w:val="20"/>
          <w:lang w:val="es-ES"/>
        </w:rPr>
      </w:pPr>
      <w:r w:rsidRPr="00767768">
        <w:rPr>
          <w:rFonts w:ascii="新細明體" w:eastAsia="新細明體" w:hAnsi="新細明體" w:hint="eastAsia"/>
          <w:sz w:val="20"/>
          <w:szCs w:val="20"/>
          <w:lang w:val="es-ES"/>
        </w:rPr>
        <w:t>學生：釋空珞 敬編　釋顯禪 修訂</w:t>
      </w:r>
    </w:p>
    <w:p w:rsidR="00D81C50" w:rsidRPr="00767768" w:rsidRDefault="00D81C50" w:rsidP="00D81C50">
      <w:pPr>
        <w:snapToGrid w:val="0"/>
        <w:ind w:rightChars="30" w:right="72"/>
        <w:jc w:val="right"/>
        <w:rPr>
          <w:rFonts w:ascii="Times New Roman" w:eastAsia="SimSun" w:hAnsi="Times New Roman" w:cs="Times New Roman"/>
          <w:b/>
          <w:u w:val="single"/>
        </w:rPr>
      </w:pPr>
      <w:r w:rsidRPr="00767768">
        <w:rPr>
          <w:rFonts w:ascii="Times New Roman" w:hAnsi="Times New Roman" w:cs="Times New Roman"/>
          <w:sz w:val="20"/>
          <w:szCs w:val="20"/>
          <w:lang w:val="es-ES"/>
        </w:rPr>
        <w:t>201</w:t>
      </w:r>
      <w:r w:rsidRPr="00767768">
        <w:rPr>
          <w:rFonts w:ascii="Times New Roman" w:hAnsi="Times New Roman" w:cs="Times New Roman" w:hint="eastAsia"/>
          <w:sz w:val="20"/>
          <w:szCs w:val="20"/>
          <w:lang w:val="es-ES"/>
        </w:rPr>
        <w:t>8</w:t>
      </w:r>
      <w:r w:rsidRPr="00767768">
        <w:rPr>
          <w:rFonts w:ascii="Times New Roman" w:hAnsi="Times New Roman" w:cs="Times New Roman"/>
          <w:sz w:val="20"/>
          <w:szCs w:val="20"/>
          <w:lang w:val="es-ES"/>
        </w:rPr>
        <w:t>/</w:t>
      </w:r>
      <w:r w:rsidRPr="00767768">
        <w:rPr>
          <w:rFonts w:ascii="Times New Roman" w:hAnsi="Times New Roman" w:cs="Times New Roman" w:hint="eastAsia"/>
          <w:sz w:val="20"/>
          <w:szCs w:val="20"/>
          <w:lang w:val="es-ES"/>
        </w:rPr>
        <w:t>4</w:t>
      </w:r>
      <w:r w:rsidRPr="00767768">
        <w:rPr>
          <w:rFonts w:ascii="Times New Roman" w:hAnsi="Times New Roman" w:cs="Times New Roman"/>
          <w:sz w:val="20"/>
          <w:szCs w:val="20"/>
          <w:lang w:val="es-ES"/>
        </w:rPr>
        <w:t>/</w:t>
      </w:r>
      <w:r w:rsidRPr="00767768">
        <w:rPr>
          <w:rFonts w:ascii="Times New Roman" w:hAnsi="Times New Roman" w:cs="Times New Roman" w:hint="eastAsia"/>
          <w:sz w:val="20"/>
          <w:szCs w:val="20"/>
          <w:lang w:val="es-ES"/>
        </w:rPr>
        <w:t>30</w:t>
      </w:r>
    </w:p>
    <w:p w:rsidR="00A36FB4" w:rsidRPr="00767768" w:rsidRDefault="00A36FB4" w:rsidP="00E62BF8">
      <w:pPr>
        <w:jc w:val="center"/>
        <w:rPr>
          <w:rFonts w:ascii="Times New Roman" w:eastAsia="新細明體" w:hAnsi="Times New Roman" w:cs="Times New Roman"/>
        </w:rPr>
      </w:pPr>
    </w:p>
    <w:p w:rsidR="00A36FB4" w:rsidRPr="00767768" w:rsidRDefault="00A36FB4" w:rsidP="00E62BF8">
      <w:pPr>
        <w:jc w:val="center"/>
        <w:rPr>
          <w:rFonts w:ascii="Times New Roman" w:eastAsia="SimSun" w:hAnsi="Times New Roman" w:cs="Times New Roman"/>
        </w:rPr>
      </w:pPr>
    </w:p>
    <w:p w:rsidR="00E62BF8" w:rsidRPr="00767768" w:rsidRDefault="00E62BF8" w:rsidP="00E62BF8">
      <w:pPr>
        <w:jc w:val="both"/>
        <w:rPr>
          <w:rFonts w:ascii="新細明體" w:eastAsia="新細明體" w:hAnsi="新細明體" w:cs="Times New Roman"/>
          <w:b/>
          <w:sz w:val="22"/>
        </w:rPr>
      </w:pPr>
      <w:r w:rsidRPr="00767768">
        <w:rPr>
          <w:rFonts w:ascii="新細明體" w:eastAsia="新細明體" w:hAnsi="新細明體" w:hint="eastAsia"/>
          <w:b/>
          <w:sz w:val="22"/>
          <w:bdr w:val="single" w:sz="4" w:space="0" w:color="auto"/>
          <w:shd w:val="pct15" w:color="auto" w:fill="FFFFFF"/>
        </w:rPr>
        <w:t>壹、引論文</w:t>
      </w:r>
    </w:p>
    <w:p w:rsidR="00E62BF8" w:rsidRPr="00767768" w:rsidRDefault="00E62BF8" w:rsidP="00E62BF8">
      <w:pPr>
        <w:jc w:val="both"/>
        <w:rPr>
          <w:rFonts w:ascii="Times New Roman" w:eastAsia="標楷體" w:hAnsi="Times New Roman" w:cs="Times New Roman"/>
          <w:szCs w:val="24"/>
        </w:rPr>
      </w:pPr>
      <w:r w:rsidRPr="00767768">
        <w:rPr>
          <w:rFonts w:ascii="標楷體" w:eastAsia="標楷體" w:hAnsi="標楷體" w:cs="Times New Roman"/>
          <w:szCs w:val="24"/>
        </w:rPr>
        <w:t>《阿毘達磨大乘經》中</w:t>
      </w:r>
      <w:r w:rsidRPr="00767768">
        <w:rPr>
          <w:rFonts w:ascii="標楷體" w:eastAsia="標楷體" w:hAnsi="標楷體" w:cs="Times New Roman" w:hint="eastAsia"/>
          <w:szCs w:val="24"/>
        </w:rPr>
        <w:t>〈</w:t>
      </w:r>
      <w:r w:rsidRPr="00767768">
        <w:rPr>
          <w:rFonts w:ascii="標楷體" w:eastAsia="標楷體" w:hAnsi="標楷體" w:cs="Times New Roman"/>
          <w:szCs w:val="24"/>
        </w:rPr>
        <w:t>攝大乘品</w:t>
      </w:r>
      <w:r w:rsidRPr="00767768">
        <w:rPr>
          <w:rFonts w:ascii="標楷體" w:eastAsia="標楷體" w:hAnsi="標楷體" w:cs="Times New Roman" w:hint="eastAsia"/>
          <w:szCs w:val="24"/>
        </w:rPr>
        <w:t>〉</w:t>
      </w:r>
      <w:r w:rsidRPr="00767768">
        <w:rPr>
          <w:rFonts w:ascii="標楷體" w:eastAsia="標楷體" w:hAnsi="標楷體" w:cs="Times New Roman"/>
          <w:szCs w:val="24"/>
        </w:rPr>
        <w:t>，我阿僧伽略釋究竟。</w:t>
      </w:r>
      <w:r w:rsidR="00F67496" w:rsidRPr="00767768">
        <w:rPr>
          <w:rStyle w:val="a7"/>
          <w:rFonts w:ascii="Times New Roman" w:hAnsi="Times New Roman" w:cs="Times New Roman"/>
        </w:rPr>
        <w:footnoteReference w:id="1"/>
      </w:r>
    </w:p>
    <w:p w:rsidR="00E62BF8" w:rsidRPr="00767768" w:rsidRDefault="00E62BF8" w:rsidP="00461253">
      <w:pPr>
        <w:spacing w:beforeLines="30"/>
        <w:jc w:val="both"/>
        <w:rPr>
          <w:rFonts w:ascii="Times New Roman" w:eastAsia="SimSun" w:hAnsi="Times New Roman" w:cs="Times New Roman"/>
          <w:szCs w:val="24"/>
        </w:rPr>
      </w:pPr>
      <w:r w:rsidRPr="00767768">
        <w:rPr>
          <w:rFonts w:ascii="新細明體" w:eastAsia="新細明體" w:hAnsi="新細明體" w:hint="eastAsia"/>
          <w:b/>
          <w:sz w:val="22"/>
          <w:bdr w:val="single" w:sz="4" w:space="0" w:color="auto"/>
          <w:shd w:val="pct15" w:color="auto" w:fill="FFFFFF"/>
        </w:rPr>
        <w:t>貳、釋論義</w:t>
      </w:r>
    </w:p>
    <w:p w:rsidR="00E62BF8" w:rsidRPr="00767768" w:rsidRDefault="00E62BF8" w:rsidP="00E62BF8">
      <w:pPr>
        <w:ind w:leftChars="50" w:left="120"/>
        <w:jc w:val="both"/>
        <w:outlineLvl w:val="0"/>
        <w:rPr>
          <w:rFonts w:ascii="新細明體" w:eastAsia="新細明體" w:hAnsi="新細明體"/>
          <w:b/>
          <w:sz w:val="22"/>
          <w:bdr w:val="single" w:sz="4" w:space="0" w:color="auto"/>
          <w:shd w:val="pct15" w:color="auto" w:fill="FFFFFF"/>
        </w:rPr>
      </w:pPr>
      <w:r w:rsidRPr="00767768">
        <w:rPr>
          <w:rFonts w:ascii="新細明體" w:eastAsia="新細明體" w:hAnsi="新細明體" w:hint="eastAsia"/>
          <w:b/>
          <w:sz w:val="22"/>
          <w:bdr w:val="single" w:sz="4" w:space="0" w:color="auto"/>
          <w:shd w:val="pct15" w:color="auto" w:fill="FFFFFF"/>
        </w:rPr>
        <w:t>（壹）</w:t>
      </w:r>
      <w:r w:rsidR="00991DB9" w:rsidRPr="00767768">
        <w:rPr>
          <w:rFonts w:ascii="新細明體" w:eastAsia="新細明體" w:hAnsi="新細明體" w:hint="eastAsia"/>
          <w:b/>
          <w:sz w:val="22"/>
          <w:bdr w:val="single" w:sz="4" w:space="0" w:color="auto"/>
          <w:shd w:val="pct15" w:color="auto" w:fill="FFFFFF"/>
        </w:rPr>
        <w:t>明文總義</w:t>
      </w:r>
    </w:p>
    <w:p w:rsidR="00991DB9" w:rsidRPr="00767768" w:rsidRDefault="00E62BF8" w:rsidP="00E62BF8">
      <w:pPr>
        <w:ind w:leftChars="50" w:left="120"/>
        <w:jc w:val="both"/>
        <w:rPr>
          <w:rFonts w:ascii="Times New Roman" w:eastAsia="SimSun" w:hAnsi="Times New Roman" w:cs="Times New Roman"/>
          <w:szCs w:val="24"/>
        </w:rPr>
      </w:pPr>
      <w:r w:rsidRPr="00767768">
        <w:rPr>
          <w:rFonts w:ascii="Times New Roman" w:eastAsia="新細明體" w:hAnsi="Times New Roman" w:cs="Times New Roman"/>
          <w:szCs w:val="24"/>
        </w:rPr>
        <w:t>這是最後的結說。</w:t>
      </w:r>
    </w:p>
    <w:p w:rsidR="00991DB9" w:rsidRPr="00767768" w:rsidRDefault="00991DB9" w:rsidP="00E62BF8">
      <w:pPr>
        <w:ind w:leftChars="50" w:left="120"/>
        <w:jc w:val="both"/>
        <w:rPr>
          <w:rFonts w:ascii="Times New Roman" w:eastAsia="SimSun" w:hAnsi="Times New Roman" w:cs="Times New Roman"/>
          <w:szCs w:val="24"/>
        </w:rPr>
      </w:pPr>
      <w:r w:rsidRPr="00767768">
        <w:rPr>
          <w:rFonts w:ascii="新細明體" w:eastAsia="新細明體" w:hAnsi="新細明體" w:hint="eastAsia"/>
          <w:b/>
          <w:sz w:val="22"/>
          <w:bdr w:val="single" w:sz="4" w:space="0" w:color="auto"/>
          <w:shd w:val="pct15" w:color="auto" w:fill="FFFFFF"/>
        </w:rPr>
        <w:t>（貳）釋</w:t>
      </w:r>
      <w:r w:rsidR="00A36FB4" w:rsidRPr="00767768">
        <w:rPr>
          <w:rFonts w:ascii="新細明體" w:eastAsia="新細明體" w:hAnsi="新細明體" w:hint="eastAsia"/>
          <w:b/>
          <w:sz w:val="22"/>
          <w:bdr w:val="single" w:sz="4" w:space="0" w:color="auto"/>
          <w:shd w:val="pct15" w:color="auto" w:fill="FFFFFF"/>
        </w:rPr>
        <w:t>文</w:t>
      </w:r>
      <w:r w:rsidRPr="00767768">
        <w:rPr>
          <w:rFonts w:ascii="新細明體" w:eastAsia="新細明體" w:hAnsi="新細明體" w:hint="eastAsia"/>
          <w:b/>
          <w:sz w:val="22"/>
          <w:bdr w:val="single" w:sz="4" w:space="0" w:color="auto"/>
          <w:shd w:val="pct15" w:color="auto" w:fill="FFFFFF"/>
        </w:rPr>
        <w:t>句意</w:t>
      </w:r>
    </w:p>
    <w:p w:rsidR="00991DB9" w:rsidRPr="00767768" w:rsidRDefault="00E62BF8" w:rsidP="00E62BF8">
      <w:pPr>
        <w:ind w:leftChars="50" w:left="120"/>
        <w:jc w:val="both"/>
        <w:rPr>
          <w:rFonts w:ascii="Times New Roman" w:eastAsia="SimSun" w:hAnsi="Times New Roman" w:cs="Times New Roman"/>
          <w:szCs w:val="24"/>
        </w:rPr>
      </w:pPr>
      <w:r w:rsidRPr="00767768">
        <w:rPr>
          <w:rFonts w:ascii="Times New Roman" w:eastAsia="新細明體" w:hAnsi="Times New Roman" w:cs="Times New Roman"/>
          <w:szCs w:val="24"/>
        </w:rPr>
        <w:t>「</w:t>
      </w:r>
      <w:r w:rsidRPr="00767768">
        <w:rPr>
          <w:rFonts w:ascii="標楷體" w:eastAsia="標楷體" w:hAnsi="標楷體" w:cs="Times New Roman"/>
          <w:szCs w:val="24"/>
        </w:rPr>
        <w:t>《阿毘達磨大乘經》中</w:t>
      </w:r>
      <w:r w:rsidRPr="00767768">
        <w:rPr>
          <w:rFonts w:ascii="標楷體" w:eastAsia="標楷體" w:hAnsi="標楷體" w:cs="Times New Roman" w:hint="eastAsia"/>
          <w:szCs w:val="24"/>
        </w:rPr>
        <w:t>〈</w:t>
      </w:r>
      <w:r w:rsidRPr="00767768">
        <w:rPr>
          <w:rFonts w:ascii="標楷體" w:eastAsia="標楷體" w:hAnsi="標楷體" w:cs="Times New Roman"/>
          <w:szCs w:val="24"/>
        </w:rPr>
        <w:t>攝大乘品</w:t>
      </w:r>
      <w:r w:rsidRPr="00767768">
        <w:rPr>
          <w:rFonts w:ascii="標楷體" w:eastAsia="標楷體" w:hAnsi="標楷體" w:cs="Times New Roman" w:hint="eastAsia"/>
          <w:szCs w:val="24"/>
        </w:rPr>
        <w:t>〉</w:t>
      </w:r>
      <w:r w:rsidRPr="00767768">
        <w:rPr>
          <w:rFonts w:ascii="Times New Roman" w:eastAsia="新細明體" w:hAnsi="Times New Roman" w:cs="Times New Roman"/>
          <w:szCs w:val="24"/>
        </w:rPr>
        <w:t>」，是本論所依的聖教，也就是論主所要闡明的法門。</w:t>
      </w:r>
    </w:p>
    <w:p w:rsidR="00991DB9" w:rsidRPr="00767768" w:rsidRDefault="00E62BF8" w:rsidP="00E62BF8">
      <w:pPr>
        <w:ind w:leftChars="50" w:left="120"/>
        <w:jc w:val="both"/>
        <w:rPr>
          <w:rFonts w:ascii="Times New Roman" w:eastAsia="SimSun" w:hAnsi="Times New Roman" w:cs="Times New Roman"/>
          <w:szCs w:val="24"/>
        </w:rPr>
      </w:pPr>
      <w:r w:rsidRPr="00767768">
        <w:rPr>
          <w:rFonts w:ascii="Times New Roman" w:eastAsia="新細明體" w:hAnsi="Times New Roman" w:cs="Times New Roman"/>
          <w:szCs w:val="24"/>
        </w:rPr>
        <w:t>「</w:t>
      </w:r>
      <w:r w:rsidRPr="00767768">
        <w:rPr>
          <w:rFonts w:ascii="標楷體" w:eastAsia="標楷體" w:hAnsi="標楷體" w:cs="Times New Roman"/>
          <w:szCs w:val="24"/>
        </w:rPr>
        <w:t>我阿僧伽略釋究竟</w:t>
      </w:r>
      <w:r w:rsidRPr="00767768">
        <w:rPr>
          <w:rFonts w:ascii="Times New Roman" w:eastAsia="新細明體" w:hAnsi="Times New Roman" w:cs="Times New Roman"/>
          <w:szCs w:val="24"/>
        </w:rPr>
        <w:t>」，是作論者自述對於法門所作的功力。阿僧伽，梵語，即無著菩薩。究竟，即終了、完成的意思。</w:t>
      </w:r>
      <w:r w:rsidR="00F67496" w:rsidRPr="00767768">
        <w:rPr>
          <w:rStyle w:val="a7"/>
          <w:rFonts w:ascii="Times New Roman" w:hAnsi="Times New Roman" w:cs="Times New Roman"/>
        </w:rPr>
        <w:footnoteReference w:id="2"/>
      </w:r>
    </w:p>
    <w:p w:rsidR="00991DB9" w:rsidRPr="00767768" w:rsidRDefault="00991DB9" w:rsidP="00E62BF8">
      <w:pPr>
        <w:ind w:leftChars="50" w:left="120"/>
        <w:jc w:val="both"/>
        <w:rPr>
          <w:rFonts w:ascii="Times New Roman" w:eastAsia="SimSun" w:hAnsi="Times New Roman" w:cs="Times New Roman"/>
          <w:szCs w:val="24"/>
        </w:rPr>
      </w:pPr>
      <w:r w:rsidRPr="00767768">
        <w:rPr>
          <w:rFonts w:ascii="新細明體" w:eastAsia="新細明體" w:hAnsi="新細明體" w:hint="eastAsia"/>
          <w:b/>
          <w:sz w:val="22"/>
          <w:bdr w:val="single" w:sz="4" w:space="0" w:color="auto"/>
          <w:shd w:val="pct15" w:color="auto" w:fill="FFFFFF"/>
        </w:rPr>
        <w:t>（</w:t>
      </w:r>
      <w:r w:rsidR="00A36FB4" w:rsidRPr="00767768">
        <w:rPr>
          <w:rFonts w:ascii="新細明體" w:eastAsia="新細明體" w:hAnsi="新細明體" w:hint="eastAsia"/>
          <w:b/>
          <w:sz w:val="22"/>
          <w:bdr w:val="single" w:sz="4" w:space="0" w:color="auto"/>
          <w:shd w:val="pct15" w:color="auto" w:fill="FFFFFF"/>
        </w:rPr>
        <w:t>參</w:t>
      </w:r>
      <w:r w:rsidRPr="00767768">
        <w:rPr>
          <w:rFonts w:ascii="新細明體" w:eastAsia="新細明體" w:hAnsi="新細明體" w:hint="eastAsia"/>
          <w:b/>
          <w:sz w:val="22"/>
          <w:bdr w:val="single" w:sz="4" w:space="0" w:color="auto"/>
          <w:shd w:val="pct15" w:color="auto" w:fill="FFFFFF"/>
        </w:rPr>
        <w:t>）判文</w:t>
      </w:r>
      <w:r w:rsidR="00A36FB4" w:rsidRPr="00767768">
        <w:rPr>
          <w:rFonts w:ascii="新細明體" w:eastAsia="新細明體" w:hAnsi="新細明體" w:hint="eastAsia"/>
          <w:b/>
          <w:sz w:val="22"/>
          <w:bdr w:val="single" w:sz="4" w:space="0" w:color="auto"/>
          <w:shd w:val="pct15" w:color="auto" w:fill="FFFFFF"/>
        </w:rPr>
        <w:t>宗</w:t>
      </w:r>
      <w:r w:rsidRPr="00767768">
        <w:rPr>
          <w:rFonts w:ascii="新細明體" w:eastAsia="新細明體" w:hAnsi="新細明體" w:hint="eastAsia"/>
          <w:b/>
          <w:sz w:val="22"/>
          <w:bdr w:val="single" w:sz="4" w:space="0" w:color="auto"/>
          <w:shd w:val="pct15" w:color="auto" w:fill="FFFFFF"/>
        </w:rPr>
        <w:t>義</w:t>
      </w:r>
    </w:p>
    <w:p w:rsidR="00991DB9" w:rsidRPr="00767768" w:rsidRDefault="002E146F" w:rsidP="00767768">
      <w:pPr>
        <w:ind w:leftChars="50" w:left="360" w:hangingChars="100" w:hanging="240"/>
        <w:jc w:val="both"/>
        <w:rPr>
          <w:rFonts w:ascii="Times New Roman" w:eastAsia="SimSun" w:hAnsi="Times New Roman" w:cs="Times New Roman"/>
          <w:szCs w:val="24"/>
        </w:rPr>
      </w:pPr>
      <w:r w:rsidRPr="00767768">
        <w:rPr>
          <w:rFonts w:ascii="Times New Roman" w:eastAsia="新細明體" w:hAnsi="Times New Roman" w:cs="Times New Roman" w:hint="eastAsia"/>
          <w:szCs w:val="24"/>
          <w:shd w:val="pct15" w:color="auto" w:fill="FFFFFF"/>
        </w:rPr>
        <w:t>◎</w:t>
      </w:r>
      <w:r w:rsidR="00E62BF8" w:rsidRPr="00767768">
        <w:rPr>
          <w:rFonts w:ascii="Times New Roman" w:eastAsia="新細明體" w:hAnsi="Times New Roman" w:cs="Times New Roman"/>
          <w:szCs w:val="24"/>
        </w:rPr>
        <w:t>依西藏譯的《攝大乘論》看，這末後的一行，實就是論題與作者的名字。印度學者著作的通例，書題與作者名字是放在全書末後的。</w:t>
      </w:r>
    </w:p>
    <w:p w:rsidR="00E62BF8" w:rsidRPr="00767768" w:rsidRDefault="002E146F" w:rsidP="00F144AC">
      <w:pPr>
        <w:ind w:leftChars="50" w:left="120"/>
        <w:jc w:val="both"/>
        <w:rPr>
          <w:rFonts w:ascii="Times New Roman" w:eastAsia="SimSun" w:hAnsi="Times New Roman" w:cs="Times New Roman"/>
          <w:szCs w:val="24"/>
        </w:rPr>
      </w:pPr>
      <w:r w:rsidRPr="00767768">
        <w:rPr>
          <w:rFonts w:ascii="Times New Roman" w:eastAsia="新細明體" w:hAnsi="Times New Roman" w:cs="Times New Roman" w:hint="eastAsia"/>
          <w:szCs w:val="24"/>
          <w:shd w:val="pct15" w:color="auto" w:fill="FFFFFF"/>
        </w:rPr>
        <w:t>※</w:t>
      </w:r>
      <w:r w:rsidR="00E62BF8" w:rsidRPr="00767768">
        <w:rPr>
          <w:rFonts w:ascii="Times New Roman" w:eastAsia="新細明體" w:hAnsi="Times New Roman" w:cs="Times New Roman"/>
          <w:szCs w:val="24"/>
        </w:rPr>
        <w:t>這雖也近於情理，但本論此文，仍以看作全論的結說為適當。</w:t>
      </w:r>
    </w:p>
    <w:p w:rsidR="00F144AC" w:rsidRPr="00767768" w:rsidRDefault="00E62BF8" w:rsidP="002E146F">
      <w:pPr>
        <w:ind w:leftChars="150" w:left="360"/>
        <w:jc w:val="both"/>
        <w:rPr>
          <w:rFonts w:ascii="Times New Roman" w:eastAsia="SimSun" w:hAnsi="Times New Roman" w:cs="Times New Roman"/>
          <w:szCs w:val="24"/>
        </w:rPr>
      </w:pPr>
      <w:r w:rsidRPr="00767768">
        <w:rPr>
          <w:rFonts w:ascii="Times New Roman" w:eastAsia="新細明體" w:hAnsi="Times New Roman" w:cs="Times New Roman"/>
          <w:szCs w:val="24"/>
        </w:rPr>
        <w:t>無著的《大乘阿毘達磨集論》末後說：</w:t>
      </w:r>
      <w:r w:rsidRPr="00767768">
        <w:rPr>
          <w:rFonts w:ascii="新細明體" w:eastAsia="新細明體" w:hAnsi="新細明體" w:cs="Times New Roman" w:hint="eastAsia"/>
          <w:szCs w:val="24"/>
        </w:rPr>
        <w:t>『</w:t>
      </w:r>
      <w:r w:rsidRPr="00767768">
        <w:rPr>
          <w:rFonts w:ascii="標楷體" w:eastAsia="標楷體" w:hAnsi="標楷體" w:cs="Times New Roman"/>
          <w:szCs w:val="24"/>
        </w:rPr>
        <w:t>何故此論名為《大乘阿毘達磨集》？略有三義</w:t>
      </w:r>
      <w:r w:rsidR="00F144AC" w:rsidRPr="00767768">
        <w:rPr>
          <w:rFonts w:ascii="標楷體" w:eastAsia="標楷體" w:hAnsi="標楷體" w:cs="Times New Roman"/>
          <w:szCs w:val="24"/>
          <w:shd w:val="pct15" w:color="auto" w:fill="FFFFFF"/>
        </w:rPr>
        <w:t>，</w:t>
      </w:r>
      <w:r w:rsidRPr="00767768">
        <w:rPr>
          <w:rFonts w:ascii="標楷體" w:eastAsia="標楷體" w:hAnsi="標楷體" w:cs="Times New Roman"/>
          <w:szCs w:val="24"/>
        </w:rPr>
        <w:t>謂等所集故，遍所集故，正所集故。</w:t>
      </w:r>
      <w:r w:rsidRPr="00767768">
        <w:rPr>
          <w:rFonts w:ascii="新細明體" w:eastAsia="新細明體" w:hAnsi="新細明體" w:cs="Times New Roman" w:hint="eastAsia"/>
          <w:szCs w:val="24"/>
        </w:rPr>
        <w:t>』</w:t>
      </w:r>
      <w:r w:rsidR="0052548F" w:rsidRPr="00767768">
        <w:rPr>
          <w:rStyle w:val="a7"/>
          <w:rFonts w:ascii="Times New Roman" w:eastAsia="新細明體" w:hAnsi="Times New Roman" w:cs="Times New Roman"/>
          <w:szCs w:val="24"/>
        </w:rPr>
        <w:footnoteReference w:id="3"/>
      </w:r>
      <w:r w:rsidRPr="00767768">
        <w:rPr>
          <w:rFonts w:ascii="Times New Roman" w:eastAsia="新細明體" w:hAnsi="Times New Roman" w:cs="Times New Roman"/>
          <w:szCs w:val="24"/>
        </w:rPr>
        <w:t>這也是在論文臨結束時，指出論題並說明本論的依據。遍所集一義，《大乘阿毘達磨雜集論》即說</w:t>
      </w:r>
      <w:r w:rsidRPr="00767768">
        <w:rPr>
          <w:rFonts w:ascii="新細明體" w:eastAsia="新細明體" w:hAnsi="新細明體" w:cs="Times New Roman" w:hint="eastAsia"/>
          <w:szCs w:val="24"/>
        </w:rPr>
        <w:t>『</w:t>
      </w:r>
      <w:r w:rsidRPr="00767768">
        <w:rPr>
          <w:rFonts w:ascii="標楷體" w:eastAsia="標楷體" w:hAnsi="標楷體" w:cs="Times New Roman"/>
          <w:szCs w:val="24"/>
        </w:rPr>
        <w:t>遍所集者，謂遍攝一切《大乘阿毘達磨經》中諸思擇處故</w:t>
      </w:r>
      <w:r w:rsidRPr="00767768">
        <w:rPr>
          <w:rFonts w:ascii="新細明體" w:eastAsia="新細明體" w:hAnsi="新細明體" w:cs="Times New Roman" w:hint="eastAsia"/>
          <w:szCs w:val="24"/>
        </w:rPr>
        <w:t>』</w:t>
      </w:r>
      <w:r w:rsidRPr="00767768">
        <w:rPr>
          <w:rFonts w:ascii="Times New Roman" w:eastAsia="新細明體" w:hAnsi="Times New Roman" w:cs="Times New Roman"/>
          <w:szCs w:val="24"/>
        </w:rPr>
        <w:t>。</w:t>
      </w:r>
      <w:r w:rsidR="00035506" w:rsidRPr="00767768">
        <w:rPr>
          <w:rStyle w:val="a7"/>
          <w:rFonts w:ascii="Times New Roman" w:eastAsia="新細明體" w:hAnsi="Times New Roman" w:cs="Times New Roman"/>
          <w:szCs w:val="24"/>
        </w:rPr>
        <w:footnoteReference w:id="4"/>
      </w:r>
    </w:p>
    <w:p w:rsidR="00F144AC" w:rsidRPr="00767768" w:rsidRDefault="00E62BF8" w:rsidP="002E146F">
      <w:pPr>
        <w:ind w:leftChars="150" w:left="360"/>
        <w:jc w:val="both"/>
        <w:rPr>
          <w:rFonts w:ascii="Times New Roman" w:eastAsia="SimSun" w:hAnsi="Times New Roman" w:cs="Times New Roman"/>
          <w:szCs w:val="24"/>
        </w:rPr>
      </w:pPr>
      <w:r w:rsidRPr="00767768">
        <w:rPr>
          <w:rFonts w:ascii="Times New Roman" w:eastAsia="新細明體" w:hAnsi="Times New Roman" w:cs="Times New Roman"/>
          <w:szCs w:val="24"/>
        </w:rPr>
        <w:t>參照《大乘阿毘達磨集論》的筆法，本文雖即是點出論</w:t>
      </w:r>
      <w:r w:rsidRPr="00767768">
        <w:rPr>
          <w:rFonts w:eastAsia="標楷體" w:hint="eastAsia"/>
          <w:sz w:val="22"/>
          <w:shd w:val="pct15" w:color="auto" w:fill="FFFFFF"/>
        </w:rPr>
        <w:t>（</w:t>
      </w:r>
      <w:r w:rsidRPr="00767768">
        <w:rPr>
          <w:rFonts w:ascii="Times New Roman" w:hAnsi="Times New Roman" w:cs="Times New Roman"/>
          <w:sz w:val="22"/>
          <w:shd w:val="pct15" w:color="auto" w:fill="FFFFFF"/>
        </w:rPr>
        <w:t>p.554</w:t>
      </w:r>
      <w:r w:rsidRPr="00767768">
        <w:rPr>
          <w:rFonts w:eastAsia="標楷體" w:hint="eastAsia"/>
          <w:sz w:val="22"/>
          <w:shd w:val="pct15" w:color="auto" w:fill="FFFFFF"/>
        </w:rPr>
        <w:t>）</w:t>
      </w:r>
      <w:r w:rsidRPr="00767768">
        <w:rPr>
          <w:rFonts w:ascii="Times New Roman" w:eastAsia="新細明體" w:hAnsi="Times New Roman" w:cs="Times New Roman"/>
          <w:szCs w:val="24"/>
        </w:rPr>
        <w:t>題與依據，但這是包含於論文之中，決非在論文結束以後另標論題及作者名字的。</w:t>
      </w:r>
    </w:p>
    <w:p w:rsidR="005E3809" w:rsidRDefault="00E62BF8" w:rsidP="002E146F">
      <w:pPr>
        <w:ind w:leftChars="150" w:left="360"/>
        <w:jc w:val="both"/>
      </w:pPr>
      <w:r w:rsidRPr="00767768">
        <w:rPr>
          <w:rFonts w:ascii="Times New Roman" w:eastAsia="新細明體" w:hAnsi="Times New Roman" w:cs="Times New Roman"/>
          <w:szCs w:val="24"/>
        </w:rPr>
        <w:t>西藏譯本，或許是依著一般的通例，略有改飾了！</w:t>
      </w:r>
    </w:p>
    <w:sectPr w:rsidR="005E3809" w:rsidSect="00220D8A">
      <w:headerReference w:type="default" r:id="rId7"/>
      <w:footerReference w:type="default" r:id="rId8"/>
      <w:pgSz w:w="11906" w:h="16838"/>
      <w:pgMar w:top="1418" w:right="1418" w:bottom="1418"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B77" w:rsidRDefault="001F4B77" w:rsidP="00E62BF8">
      <w:r>
        <w:separator/>
      </w:r>
    </w:p>
  </w:endnote>
  <w:endnote w:type="continuationSeparator" w:id="0">
    <w:p w:rsidR="001F4B77" w:rsidRDefault="001F4B77" w:rsidP="00E62B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8490817"/>
      <w:docPartObj>
        <w:docPartGallery w:val="Page Numbers (Bottom of Page)"/>
        <w:docPartUnique/>
      </w:docPartObj>
    </w:sdtPr>
    <w:sdtContent>
      <w:p w:rsidR="00307FE4" w:rsidRDefault="00FF458D" w:rsidP="002E146F">
        <w:pPr>
          <w:pStyle w:val="aa"/>
          <w:jc w:val="center"/>
        </w:pPr>
        <w:r w:rsidRPr="002E146F">
          <w:rPr>
            <w:rFonts w:ascii="Times New Roman" w:hAnsi="Times New Roman" w:cs="Times New Roman"/>
          </w:rPr>
          <w:fldChar w:fldCharType="begin"/>
        </w:r>
        <w:r w:rsidR="00307FE4" w:rsidRPr="002E146F">
          <w:rPr>
            <w:rFonts w:ascii="Times New Roman" w:hAnsi="Times New Roman" w:cs="Times New Roman"/>
          </w:rPr>
          <w:instrText>PAGE   \* MERGEFORMAT</w:instrText>
        </w:r>
        <w:r w:rsidRPr="002E146F">
          <w:rPr>
            <w:rFonts w:ascii="Times New Roman" w:hAnsi="Times New Roman" w:cs="Times New Roman"/>
          </w:rPr>
          <w:fldChar w:fldCharType="separate"/>
        </w:r>
        <w:r w:rsidR="00461253" w:rsidRPr="00461253">
          <w:rPr>
            <w:rFonts w:ascii="Times New Roman" w:hAnsi="Times New Roman" w:cs="Times New Roman"/>
            <w:noProof/>
            <w:lang w:val="zh-TW"/>
          </w:rPr>
          <w:t>1</w:t>
        </w:r>
        <w:r w:rsidRPr="002E146F">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B77" w:rsidRDefault="001F4B77" w:rsidP="00E62BF8">
      <w:r>
        <w:separator/>
      </w:r>
    </w:p>
  </w:footnote>
  <w:footnote w:type="continuationSeparator" w:id="0">
    <w:p w:rsidR="001F4B77" w:rsidRDefault="001F4B77" w:rsidP="00E62BF8">
      <w:r>
        <w:continuationSeparator/>
      </w:r>
    </w:p>
  </w:footnote>
  <w:footnote w:id="1">
    <w:p w:rsidR="00F67496" w:rsidRPr="00767768" w:rsidRDefault="00F67496" w:rsidP="0038193D">
      <w:pPr>
        <w:snapToGrid w:val="0"/>
        <w:jc w:val="both"/>
        <w:rPr>
          <w:rFonts w:ascii="Times New Roman" w:hAnsi="Times New Roman" w:cs="Times New Roman"/>
          <w:sz w:val="22"/>
        </w:rPr>
      </w:pPr>
      <w:r w:rsidRPr="00767768">
        <w:rPr>
          <w:rStyle w:val="a7"/>
          <w:rFonts w:ascii="Times New Roman" w:hAnsi="Times New Roman" w:cs="Times New Roman"/>
          <w:sz w:val="22"/>
        </w:rPr>
        <w:footnoteRef/>
      </w:r>
      <w:r w:rsidRPr="00767768">
        <w:rPr>
          <w:rFonts w:ascii="Times New Roman" w:hAnsi="Times New Roman" w:cs="Times New Roman"/>
          <w:sz w:val="22"/>
        </w:rPr>
        <w:t>（</w:t>
      </w:r>
      <w:r w:rsidRPr="00767768">
        <w:rPr>
          <w:rFonts w:ascii="Times New Roman" w:hAnsi="Times New Roman" w:cs="Times New Roman"/>
          <w:sz w:val="22"/>
        </w:rPr>
        <w:t>1</w:t>
      </w:r>
      <w:r w:rsidRPr="00767768">
        <w:rPr>
          <w:rFonts w:ascii="Times New Roman" w:hAnsi="Times New Roman" w:cs="Times New Roman"/>
          <w:sz w:val="22"/>
        </w:rPr>
        <w:t>）</w:t>
      </w:r>
      <w:r w:rsidRPr="00767768">
        <w:rPr>
          <w:rFonts w:ascii="Times New Roman" w:cs="Times New Roman"/>
          <w:sz w:val="22"/>
        </w:rPr>
        <w:t>無著造，［陳］真諦譯</w:t>
      </w:r>
      <w:r w:rsidRPr="00767768">
        <w:rPr>
          <w:rFonts w:ascii="Times New Roman" w:cs="Times New Roman" w:hint="eastAsia"/>
          <w:sz w:val="22"/>
        </w:rPr>
        <w:t>，《攝大乘論》卷下〈</w:t>
      </w:r>
      <w:r w:rsidRPr="00767768">
        <w:rPr>
          <w:rFonts w:ascii="Times New Roman" w:cs="Times New Roman" w:hint="eastAsia"/>
          <w:sz w:val="22"/>
        </w:rPr>
        <w:t>10</w:t>
      </w:r>
      <w:r w:rsidRPr="00767768">
        <w:rPr>
          <w:rFonts w:ascii="Times New Roman" w:cs="Times New Roman" w:hint="eastAsia"/>
          <w:sz w:val="22"/>
        </w:rPr>
        <w:t>智差別勝相品〉（大正</w:t>
      </w:r>
      <w:r w:rsidRPr="00767768">
        <w:rPr>
          <w:rFonts w:ascii="Times New Roman" w:cs="Times New Roman" w:hint="eastAsia"/>
          <w:sz w:val="22"/>
        </w:rPr>
        <w:t>31</w:t>
      </w:r>
      <w:r w:rsidRPr="00767768">
        <w:rPr>
          <w:rFonts w:ascii="Times New Roman" w:cs="Times New Roman" w:hint="eastAsia"/>
          <w:sz w:val="22"/>
        </w:rPr>
        <w:t>，</w:t>
      </w:r>
      <w:r w:rsidRPr="00767768">
        <w:rPr>
          <w:rFonts w:ascii="Times New Roman" w:hAnsi="Times New Roman" w:cs="Times New Roman" w:hint="eastAsia"/>
          <w:sz w:val="22"/>
        </w:rPr>
        <w:t>132c12-13</w:t>
      </w:r>
      <w:r w:rsidRPr="00767768">
        <w:rPr>
          <w:rFonts w:ascii="Times New Roman" w:cs="Times New Roman" w:hint="eastAsia"/>
          <w:sz w:val="22"/>
        </w:rPr>
        <w:t>）：</w:t>
      </w:r>
    </w:p>
    <w:p w:rsidR="00F67496" w:rsidRPr="00767768" w:rsidRDefault="00F67496" w:rsidP="0038193D">
      <w:pPr>
        <w:pStyle w:val="a5"/>
        <w:ind w:leftChars="200" w:left="480"/>
        <w:jc w:val="both"/>
        <w:rPr>
          <w:rFonts w:ascii="標楷體" w:eastAsia="標楷體" w:hAnsi="標楷體" w:cs="Times New Roman"/>
          <w:sz w:val="22"/>
          <w:szCs w:val="22"/>
        </w:rPr>
      </w:pPr>
      <w:r w:rsidRPr="00767768">
        <w:rPr>
          <w:rFonts w:ascii="標楷體" w:eastAsia="標楷體" w:hAnsi="標楷體" w:cs="Times New Roman" w:hint="eastAsia"/>
          <w:sz w:val="22"/>
        </w:rPr>
        <w:t>《阿毘達磨大乘藏經》中名〈攝大乘〉，此正說究竟。</w:t>
      </w:r>
    </w:p>
    <w:p w:rsidR="00F67496" w:rsidRPr="00767768" w:rsidRDefault="00F67496" w:rsidP="0038193D">
      <w:pPr>
        <w:pStyle w:val="a5"/>
        <w:ind w:left="30"/>
        <w:jc w:val="both"/>
        <w:rPr>
          <w:rFonts w:ascii="Times New Roman" w:cs="Times New Roman"/>
          <w:sz w:val="22"/>
        </w:rPr>
      </w:pPr>
      <w:r w:rsidRPr="00767768">
        <w:rPr>
          <w:rFonts w:ascii="Times New Roman" w:cs="Times New Roman" w:hint="eastAsia"/>
          <w:sz w:val="22"/>
          <w:szCs w:val="22"/>
        </w:rPr>
        <w:t>（</w:t>
      </w:r>
      <w:r w:rsidRPr="00767768">
        <w:rPr>
          <w:rFonts w:ascii="Times New Roman" w:cs="Times New Roman" w:hint="eastAsia"/>
          <w:sz w:val="22"/>
          <w:szCs w:val="22"/>
        </w:rPr>
        <w:t>2</w:t>
      </w:r>
      <w:r w:rsidRPr="00767768">
        <w:rPr>
          <w:rFonts w:ascii="Times New Roman" w:cs="Times New Roman" w:hint="eastAsia"/>
          <w:sz w:val="22"/>
          <w:szCs w:val="22"/>
        </w:rPr>
        <w:t>）</w:t>
      </w:r>
      <w:r w:rsidRPr="00767768">
        <w:rPr>
          <w:rFonts w:ascii="Times New Roman" w:hAnsi="Times New Roman" w:cs="Times New Roman"/>
          <w:sz w:val="22"/>
          <w:szCs w:val="22"/>
        </w:rPr>
        <w:t>無著造，世親釋，［隋］笈多共行矩等譯，</w:t>
      </w:r>
      <w:r w:rsidRPr="00767768">
        <w:rPr>
          <w:rFonts w:ascii="Times New Roman" w:cs="Times New Roman" w:hint="eastAsia"/>
          <w:sz w:val="22"/>
        </w:rPr>
        <w:t>《攝大乘論釋論》卷</w:t>
      </w:r>
      <w:r w:rsidRPr="00767768">
        <w:rPr>
          <w:rFonts w:ascii="Times New Roman" w:cs="Times New Roman" w:hint="eastAsia"/>
          <w:sz w:val="22"/>
        </w:rPr>
        <w:t>10</w:t>
      </w:r>
      <w:r w:rsidRPr="00767768">
        <w:rPr>
          <w:rFonts w:ascii="Times New Roman" w:cs="Times New Roman" w:hint="eastAsia"/>
          <w:sz w:val="22"/>
        </w:rPr>
        <w:t>（大正</w:t>
      </w:r>
      <w:r w:rsidRPr="00767768">
        <w:rPr>
          <w:rFonts w:ascii="Times New Roman" w:cs="Times New Roman" w:hint="eastAsia"/>
          <w:sz w:val="22"/>
        </w:rPr>
        <w:t>31</w:t>
      </w:r>
      <w:r w:rsidRPr="00767768">
        <w:rPr>
          <w:rFonts w:ascii="Times New Roman" w:cs="Times New Roman" w:hint="eastAsia"/>
          <w:sz w:val="22"/>
        </w:rPr>
        <w:t>，</w:t>
      </w:r>
      <w:r w:rsidRPr="00767768">
        <w:rPr>
          <w:rFonts w:ascii="Times New Roman" w:hAnsi="Times New Roman" w:cs="Times New Roman" w:hint="eastAsia"/>
          <w:sz w:val="22"/>
        </w:rPr>
        <w:t>320c25-26</w:t>
      </w:r>
      <w:r w:rsidRPr="00767768">
        <w:rPr>
          <w:rFonts w:ascii="Times New Roman" w:cs="Times New Roman" w:hint="eastAsia"/>
          <w:sz w:val="22"/>
        </w:rPr>
        <w:t>）：</w:t>
      </w:r>
    </w:p>
    <w:p w:rsidR="00F67496" w:rsidRPr="00767768" w:rsidRDefault="00F67496" w:rsidP="0038193D">
      <w:pPr>
        <w:pStyle w:val="a5"/>
        <w:ind w:leftChars="200" w:left="480"/>
        <w:jc w:val="both"/>
        <w:rPr>
          <w:rFonts w:ascii="標楷體" w:eastAsia="標楷體" w:hAnsi="標楷體" w:cs="Times New Roman"/>
          <w:sz w:val="22"/>
          <w:szCs w:val="22"/>
        </w:rPr>
      </w:pPr>
      <w:r w:rsidRPr="00767768">
        <w:rPr>
          <w:rFonts w:ascii="標楷體" w:eastAsia="標楷體" w:hAnsi="標楷體" w:cs="Times New Roman" w:hint="eastAsia"/>
          <w:sz w:val="22"/>
        </w:rPr>
        <w:t>《阿毘達磨大乘修多羅》中〈攝大乘品〉解釋竟。阿闍梨阿僧伽造。</w:t>
      </w:r>
    </w:p>
    <w:p w:rsidR="00F67496" w:rsidRPr="00767768" w:rsidRDefault="00F67496" w:rsidP="0038193D">
      <w:pPr>
        <w:pStyle w:val="a5"/>
        <w:ind w:leftChars="30" w:left="622" w:hangingChars="250" w:hanging="550"/>
        <w:jc w:val="both"/>
        <w:rPr>
          <w:rFonts w:ascii="Times New Roman" w:hAnsi="Times New Roman" w:cs="Times New Roman"/>
          <w:sz w:val="22"/>
          <w:szCs w:val="22"/>
        </w:rPr>
      </w:pPr>
      <w:r w:rsidRPr="00767768">
        <w:rPr>
          <w:rFonts w:ascii="Times New Roman" w:cs="Times New Roman" w:hint="eastAsia"/>
          <w:sz w:val="22"/>
          <w:szCs w:val="22"/>
        </w:rPr>
        <w:t>（</w:t>
      </w:r>
      <w:r w:rsidRPr="00767768">
        <w:rPr>
          <w:rFonts w:ascii="Times New Roman" w:cs="Times New Roman" w:hint="eastAsia"/>
          <w:sz w:val="22"/>
          <w:szCs w:val="22"/>
        </w:rPr>
        <w:t>3</w:t>
      </w:r>
      <w:r w:rsidRPr="00767768">
        <w:rPr>
          <w:rFonts w:ascii="Times New Roman" w:cs="Times New Roman" w:hint="eastAsia"/>
          <w:sz w:val="22"/>
          <w:szCs w:val="22"/>
        </w:rPr>
        <w:t>）</w:t>
      </w:r>
      <w:r w:rsidRPr="00767768">
        <w:rPr>
          <w:rFonts w:ascii="Times New Roman" w:hAnsi="Times New Roman" w:cs="Times New Roman"/>
          <w:sz w:val="22"/>
        </w:rPr>
        <w:t>無著造，［唐］玄奘譯</w:t>
      </w:r>
      <w:r w:rsidRPr="00767768">
        <w:rPr>
          <w:rFonts w:ascii="Times New Roman" w:hAnsi="Times New Roman" w:cs="Times New Roman" w:hint="eastAsia"/>
          <w:sz w:val="22"/>
        </w:rPr>
        <w:t>，《攝大乘論本》卷</w:t>
      </w:r>
      <w:r w:rsidRPr="00767768">
        <w:rPr>
          <w:rFonts w:ascii="Times New Roman" w:cs="Times New Roman"/>
          <w:sz w:val="22"/>
        </w:rPr>
        <w:t>下（大正</w:t>
      </w:r>
      <w:r w:rsidRPr="00767768">
        <w:rPr>
          <w:rFonts w:ascii="Times New Roman" w:hAnsi="Times New Roman" w:cs="Times New Roman"/>
          <w:sz w:val="22"/>
        </w:rPr>
        <w:t>31</w:t>
      </w:r>
      <w:r w:rsidRPr="00767768">
        <w:rPr>
          <w:rFonts w:ascii="Times New Roman" w:cs="Times New Roman"/>
          <w:sz w:val="22"/>
        </w:rPr>
        <w:t>，</w:t>
      </w:r>
      <w:r w:rsidRPr="00767768">
        <w:rPr>
          <w:rFonts w:ascii="Times New Roman" w:hAnsi="Times New Roman" w:cs="Times New Roman" w:hint="eastAsia"/>
          <w:sz w:val="22"/>
        </w:rPr>
        <w:t>152a16-17</w:t>
      </w:r>
      <w:r w:rsidRPr="00767768">
        <w:rPr>
          <w:rFonts w:ascii="Times New Roman" w:cs="Times New Roman"/>
          <w:sz w:val="22"/>
        </w:rPr>
        <w:t>）</w:t>
      </w:r>
      <w:r w:rsidRPr="00767768">
        <w:rPr>
          <w:rFonts w:ascii="Times New Roman" w:hAnsi="Times New Roman" w:cs="Times New Roman"/>
          <w:sz w:val="22"/>
          <w:szCs w:val="22"/>
        </w:rPr>
        <w:t>。</w:t>
      </w:r>
    </w:p>
  </w:footnote>
  <w:footnote w:id="2">
    <w:p w:rsidR="00F67496" w:rsidRPr="00767768" w:rsidRDefault="00F67496" w:rsidP="0038193D">
      <w:pPr>
        <w:pStyle w:val="a5"/>
        <w:jc w:val="both"/>
        <w:rPr>
          <w:rFonts w:ascii="Times New Roman" w:cs="Times New Roman"/>
          <w:sz w:val="22"/>
        </w:rPr>
      </w:pPr>
      <w:r w:rsidRPr="00767768">
        <w:rPr>
          <w:rStyle w:val="a7"/>
          <w:rFonts w:ascii="Times New Roman" w:hAnsi="Times New Roman" w:cs="Times New Roman"/>
          <w:sz w:val="22"/>
          <w:szCs w:val="22"/>
        </w:rPr>
        <w:footnoteRef/>
      </w:r>
      <w:r w:rsidRPr="00767768">
        <w:rPr>
          <w:rFonts w:ascii="Times New Roman" w:hAnsi="Times New Roman" w:cs="Times New Roman" w:hint="eastAsia"/>
          <w:sz w:val="22"/>
          <w:szCs w:val="22"/>
        </w:rPr>
        <w:t xml:space="preserve"> </w:t>
      </w:r>
      <w:r w:rsidRPr="00767768">
        <w:rPr>
          <w:rFonts w:ascii="Times New Roman" w:hAnsi="Times New Roman" w:cs="Times New Roman"/>
          <w:sz w:val="22"/>
          <w:szCs w:val="22"/>
        </w:rPr>
        <w:t>無性釋，［唐］玄奘譯，</w:t>
      </w:r>
      <w:r w:rsidRPr="00767768">
        <w:rPr>
          <w:rFonts w:ascii="Times New Roman" w:hAnsi="Times New Roman" w:cs="Times New Roman"/>
          <w:sz w:val="22"/>
        </w:rPr>
        <w:t>《攝大乘論釋》卷</w:t>
      </w:r>
      <w:r w:rsidRPr="00767768">
        <w:rPr>
          <w:rFonts w:ascii="Times New Roman" w:hAnsi="Times New Roman" w:cs="Times New Roman" w:hint="eastAsia"/>
          <w:sz w:val="22"/>
        </w:rPr>
        <w:t>10</w:t>
      </w:r>
      <w:r w:rsidRPr="00767768">
        <w:rPr>
          <w:rFonts w:ascii="Times New Roman" w:cs="Times New Roman" w:hint="eastAsia"/>
          <w:sz w:val="22"/>
        </w:rPr>
        <w:t>（大正</w:t>
      </w:r>
      <w:r w:rsidRPr="00767768">
        <w:rPr>
          <w:rFonts w:ascii="Times New Roman" w:cs="Times New Roman" w:hint="eastAsia"/>
          <w:sz w:val="22"/>
        </w:rPr>
        <w:t>31</w:t>
      </w:r>
      <w:r w:rsidRPr="00767768">
        <w:rPr>
          <w:rFonts w:ascii="Times New Roman" w:cs="Times New Roman" w:hint="eastAsia"/>
          <w:sz w:val="22"/>
        </w:rPr>
        <w:t>，</w:t>
      </w:r>
      <w:r w:rsidRPr="00767768">
        <w:rPr>
          <w:rFonts w:ascii="Times New Roman" w:hAnsi="Times New Roman" w:cs="Times New Roman" w:hint="eastAsia"/>
          <w:sz w:val="22"/>
        </w:rPr>
        <w:t>449b18-25</w:t>
      </w:r>
      <w:r w:rsidRPr="00767768">
        <w:rPr>
          <w:rFonts w:ascii="Times New Roman" w:cs="Times New Roman" w:hint="eastAsia"/>
          <w:sz w:val="22"/>
        </w:rPr>
        <w:t>）：</w:t>
      </w:r>
    </w:p>
    <w:p w:rsidR="00F67496" w:rsidRPr="00767768" w:rsidRDefault="00F67496" w:rsidP="0038193D">
      <w:pPr>
        <w:snapToGrid w:val="0"/>
        <w:ind w:leftChars="80" w:left="192"/>
        <w:jc w:val="both"/>
        <w:rPr>
          <w:rFonts w:ascii="標楷體" w:eastAsia="標楷體" w:hAnsi="標楷體" w:cs="Times New Roman"/>
          <w:sz w:val="22"/>
        </w:rPr>
      </w:pPr>
      <w:r w:rsidRPr="00767768">
        <w:rPr>
          <w:rFonts w:ascii="標楷體" w:eastAsia="標楷體" w:hAnsi="標楷體" w:cs="Times New Roman" w:hint="eastAsia"/>
          <w:sz w:val="22"/>
        </w:rPr>
        <w:t>我已略釋攝大乘竟。</w:t>
      </w:r>
    </w:p>
    <w:p w:rsidR="00F67496" w:rsidRPr="00767768" w:rsidRDefault="00F67496" w:rsidP="0038193D">
      <w:pPr>
        <w:snapToGrid w:val="0"/>
        <w:ind w:leftChars="80" w:left="192"/>
        <w:jc w:val="both"/>
        <w:rPr>
          <w:rFonts w:ascii="標楷體" w:eastAsia="標楷體" w:hAnsi="標楷體" w:cs="Times New Roman"/>
          <w:sz w:val="22"/>
        </w:rPr>
      </w:pPr>
      <w:r w:rsidRPr="00767768">
        <w:rPr>
          <w:rFonts w:ascii="標楷體" w:eastAsia="標楷體" w:hAnsi="標楷體" w:cs="Times New Roman" w:hint="eastAsia"/>
          <w:sz w:val="22"/>
        </w:rPr>
        <w:t>復說頌曰：我</w:t>
      </w:r>
      <w:r w:rsidRPr="00767768">
        <w:rPr>
          <w:rFonts w:ascii="標楷體" w:eastAsia="標楷體" w:hAnsi="標楷體" w:cs="Times New Roman" w:hint="eastAsia"/>
          <w:b/>
          <w:sz w:val="22"/>
        </w:rPr>
        <w:t>無性</w:t>
      </w:r>
      <w:r w:rsidRPr="00767768">
        <w:rPr>
          <w:rFonts w:ascii="標楷體" w:eastAsia="標楷體" w:hAnsi="標楷體" w:cs="Times New Roman" w:hint="eastAsia"/>
          <w:sz w:val="22"/>
        </w:rPr>
        <w:t>已發，求佛果妙願，於淨境理教，悲慧積于心，</w:t>
      </w:r>
    </w:p>
    <w:p w:rsidR="00F67496" w:rsidRPr="00767768" w:rsidRDefault="00F67496" w:rsidP="0038193D">
      <w:pPr>
        <w:snapToGrid w:val="0"/>
        <w:ind w:leftChars="550" w:left="1320"/>
        <w:jc w:val="both"/>
        <w:rPr>
          <w:rFonts w:ascii="標楷體" w:eastAsia="標楷體" w:hAnsi="標楷體" w:cs="Times New Roman"/>
          <w:sz w:val="22"/>
        </w:rPr>
      </w:pPr>
      <w:r w:rsidRPr="00767768">
        <w:rPr>
          <w:rFonts w:ascii="標楷體" w:eastAsia="標楷體" w:hAnsi="標楷體" w:cs="Times New Roman" w:hint="eastAsia"/>
          <w:sz w:val="22"/>
        </w:rPr>
        <w:t>從諸師正聞，如實深信解，專念現前故，已述造斯釋，</w:t>
      </w:r>
    </w:p>
    <w:p w:rsidR="00F67496" w:rsidRPr="00767768" w:rsidRDefault="00F67496" w:rsidP="0038193D">
      <w:pPr>
        <w:snapToGrid w:val="0"/>
        <w:ind w:leftChars="550" w:left="1320"/>
        <w:jc w:val="both"/>
        <w:rPr>
          <w:rFonts w:ascii="標楷體" w:eastAsia="標楷體" w:hAnsi="標楷體" w:cs="Times New Roman"/>
          <w:sz w:val="22"/>
        </w:rPr>
      </w:pPr>
      <w:r w:rsidRPr="00767768">
        <w:rPr>
          <w:rFonts w:ascii="標楷體" w:eastAsia="標楷體" w:hAnsi="標楷體" w:cs="Times New Roman" w:hint="eastAsia"/>
          <w:sz w:val="22"/>
        </w:rPr>
        <w:t>於甚深廣大，十義勤生福，願一切世間，得具相妙智。</w:t>
      </w:r>
    </w:p>
  </w:footnote>
  <w:footnote w:id="3">
    <w:p w:rsidR="0052548F" w:rsidRPr="00767768" w:rsidRDefault="0052548F" w:rsidP="0038193D">
      <w:pPr>
        <w:pStyle w:val="a5"/>
        <w:jc w:val="both"/>
        <w:rPr>
          <w:rFonts w:ascii="Times New Roman" w:eastAsia="新細明體" w:hAnsi="Times New Roman" w:cs="Times New Roman"/>
          <w:sz w:val="22"/>
        </w:rPr>
      </w:pPr>
      <w:r w:rsidRPr="00767768">
        <w:rPr>
          <w:rStyle w:val="a7"/>
          <w:rFonts w:ascii="Times New Roman" w:eastAsia="新細明體" w:hAnsi="Times New Roman" w:cs="Times New Roman"/>
          <w:sz w:val="22"/>
          <w:szCs w:val="22"/>
        </w:rPr>
        <w:footnoteRef/>
      </w:r>
      <w:r w:rsidRPr="00767768">
        <w:rPr>
          <w:rFonts w:ascii="Times New Roman" w:eastAsia="新細明體" w:hAnsi="Times New Roman" w:cs="Times New Roman"/>
          <w:sz w:val="22"/>
          <w:szCs w:val="22"/>
        </w:rPr>
        <w:t>《大乘阿毘達磨集論》卷</w:t>
      </w:r>
      <w:r w:rsidRPr="00767768">
        <w:rPr>
          <w:rFonts w:ascii="Times New Roman" w:eastAsia="新細明體" w:hAnsi="Times New Roman" w:cs="Times New Roman"/>
          <w:sz w:val="22"/>
          <w:szCs w:val="22"/>
        </w:rPr>
        <w:t>7</w:t>
      </w:r>
      <w:r w:rsidRPr="00767768">
        <w:rPr>
          <w:rFonts w:ascii="Times New Roman" w:eastAsia="新細明體" w:hAnsi="Times New Roman" w:cs="Times New Roman"/>
          <w:sz w:val="22"/>
          <w:szCs w:val="22"/>
        </w:rPr>
        <w:t>〈論議品</w:t>
      </w:r>
      <w:r w:rsidRPr="00767768">
        <w:rPr>
          <w:rFonts w:ascii="Times New Roman" w:eastAsia="新細明體" w:hAnsi="Times New Roman" w:cs="Times New Roman"/>
          <w:sz w:val="22"/>
          <w:szCs w:val="22"/>
        </w:rPr>
        <w:t xml:space="preserve"> 4</w:t>
      </w:r>
      <w:r w:rsidRPr="00767768">
        <w:rPr>
          <w:rFonts w:ascii="Times New Roman" w:eastAsia="新細明體" w:hAnsi="Times New Roman" w:cs="Times New Roman"/>
          <w:sz w:val="22"/>
          <w:szCs w:val="22"/>
        </w:rPr>
        <w:t>〉</w:t>
      </w:r>
      <w:r w:rsidRPr="00767768">
        <w:rPr>
          <w:rFonts w:ascii="Times New Roman" w:eastAsia="新細明體" w:hAnsi="Times New Roman" w:cs="Times New Roman"/>
          <w:sz w:val="22"/>
        </w:rPr>
        <w:t>（大正</w:t>
      </w:r>
      <w:r w:rsidRPr="00767768">
        <w:rPr>
          <w:rFonts w:ascii="Times New Roman" w:eastAsia="新細明體" w:hAnsi="Times New Roman" w:cs="Times New Roman"/>
          <w:sz w:val="22"/>
        </w:rPr>
        <w:t>31</w:t>
      </w:r>
      <w:r w:rsidRPr="00767768">
        <w:rPr>
          <w:rFonts w:ascii="Times New Roman" w:eastAsia="新細明體" w:hAnsi="Times New Roman" w:cs="Times New Roman"/>
          <w:sz w:val="22"/>
        </w:rPr>
        <w:t>，</w:t>
      </w:r>
      <w:r w:rsidRPr="00767768">
        <w:rPr>
          <w:rFonts w:ascii="Times New Roman" w:eastAsia="新細明體" w:hAnsi="Times New Roman" w:cs="Times New Roman"/>
          <w:sz w:val="22"/>
          <w:szCs w:val="22"/>
        </w:rPr>
        <w:t>694b8-9</w:t>
      </w:r>
      <w:r w:rsidRPr="00767768">
        <w:rPr>
          <w:rFonts w:ascii="Times New Roman" w:eastAsia="新細明體" w:hAnsi="Times New Roman" w:cs="Times New Roman"/>
          <w:sz w:val="22"/>
        </w:rPr>
        <w:t>）</w:t>
      </w:r>
      <w:r w:rsidR="00F67496" w:rsidRPr="00767768">
        <w:rPr>
          <w:rFonts w:ascii="Times New Roman" w:eastAsia="新細明體" w:hAnsi="Times New Roman" w:cs="Times New Roman" w:hint="eastAsia"/>
          <w:sz w:val="22"/>
        </w:rPr>
        <w:t>。</w:t>
      </w:r>
    </w:p>
  </w:footnote>
  <w:footnote w:id="4">
    <w:p w:rsidR="00035506" w:rsidRPr="00035506" w:rsidRDefault="00035506" w:rsidP="0038193D">
      <w:pPr>
        <w:pStyle w:val="a5"/>
        <w:jc w:val="both"/>
        <w:rPr>
          <w:rFonts w:ascii="Times New Roman" w:eastAsia="新細明體" w:hAnsi="Times New Roman" w:cs="Times New Roman"/>
          <w:sz w:val="22"/>
        </w:rPr>
      </w:pPr>
      <w:r w:rsidRPr="00767768">
        <w:rPr>
          <w:rStyle w:val="a7"/>
          <w:rFonts w:ascii="Times New Roman" w:eastAsia="新細明體" w:hAnsi="Times New Roman" w:cs="Times New Roman"/>
          <w:sz w:val="22"/>
          <w:szCs w:val="22"/>
        </w:rPr>
        <w:footnoteRef/>
      </w:r>
      <w:r w:rsidRPr="00767768">
        <w:rPr>
          <w:rFonts w:ascii="Times New Roman" w:eastAsia="新細明體" w:hAnsi="Times New Roman" w:cs="Times New Roman"/>
          <w:sz w:val="22"/>
          <w:szCs w:val="22"/>
        </w:rPr>
        <w:t>《大乘阿毘達磨雜集論》卷</w:t>
      </w:r>
      <w:r w:rsidRPr="00767768">
        <w:rPr>
          <w:rFonts w:ascii="Times New Roman" w:eastAsia="新細明體" w:hAnsi="Times New Roman" w:cs="Times New Roman"/>
          <w:sz w:val="22"/>
          <w:szCs w:val="22"/>
        </w:rPr>
        <w:t>16</w:t>
      </w:r>
      <w:r w:rsidRPr="00767768">
        <w:rPr>
          <w:rFonts w:ascii="Times New Roman" w:eastAsia="新細明體" w:hAnsi="Times New Roman" w:cs="Times New Roman"/>
          <w:sz w:val="22"/>
          <w:szCs w:val="22"/>
        </w:rPr>
        <w:t>〈論品</w:t>
      </w:r>
      <w:r w:rsidRPr="00767768">
        <w:rPr>
          <w:rFonts w:ascii="Times New Roman" w:eastAsia="新細明體" w:hAnsi="Times New Roman" w:cs="Times New Roman"/>
          <w:sz w:val="22"/>
          <w:szCs w:val="22"/>
        </w:rPr>
        <w:t xml:space="preserve"> 4</w:t>
      </w:r>
      <w:r w:rsidRPr="00767768">
        <w:rPr>
          <w:rFonts w:ascii="Times New Roman" w:eastAsia="新細明體" w:hAnsi="Times New Roman" w:cs="Times New Roman"/>
          <w:sz w:val="22"/>
          <w:szCs w:val="22"/>
        </w:rPr>
        <w:t>〉</w:t>
      </w:r>
      <w:r w:rsidRPr="00767768">
        <w:rPr>
          <w:rFonts w:ascii="Times New Roman" w:eastAsia="新細明體" w:hAnsi="Times New Roman" w:cs="Times New Roman"/>
          <w:sz w:val="22"/>
        </w:rPr>
        <w:t>（大正</w:t>
      </w:r>
      <w:r w:rsidRPr="00767768">
        <w:rPr>
          <w:rFonts w:ascii="Times New Roman" w:eastAsia="新細明體" w:hAnsi="Times New Roman" w:cs="Times New Roman"/>
          <w:sz w:val="22"/>
        </w:rPr>
        <w:t>31</w:t>
      </w:r>
      <w:r w:rsidRPr="00767768">
        <w:rPr>
          <w:rFonts w:ascii="Times New Roman" w:eastAsia="新細明體" w:hAnsi="Times New Roman" w:cs="Times New Roman"/>
          <w:sz w:val="22"/>
        </w:rPr>
        <w:t>，</w:t>
      </w:r>
      <w:r w:rsidRPr="00767768">
        <w:rPr>
          <w:rFonts w:ascii="Times New Roman" w:eastAsia="新細明體" w:hAnsi="Times New Roman" w:cs="Times New Roman"/>
          <w:sz w:val="22"/>
          <w:szCs w:val="22"/>
        </w:rPr>
        <w:t>774a3-4</w:t>
      </w:r>
      <w:r w:rsidRPr="00767768">
        <w:rPr>
          <w:rFonts w:ascii="Times New Roman" w:eastAsia="新細明體" w:hAnsi="Times New Roman" w:cs="Times New Roman"/>
          <w:sz w:val="22"/>
        </w:rPr>
        <w:t>）</w:t>
      </w:r>
      <w:r w:rsidR="00F67496" w:rsidRPr="00767768">
        <w:rPr>
          <w:rFonts w:ascii="Times New Roman" w:eastAsia="新細明體" w:hAnsi="Times New Roman" w:cs="Times New Roman" w:hint="eastAsia"/>
          <w:sz w:val="22"/>
          <w:szCs w:val="22"/>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BF8" w:rsidRPr="00FB20CD" w:rsidRDefault="00E62BF8" w:rsidP="00E62BF8">
    <w:pPr>
      <w:pStyle w:val="a8"/>
      <w:jc w:val="right"/>
      <w:rPr>
        <w:sz w:val="22"/>
        <w:szCs w:val="22"/>
      </w:rPr>
    </w:pPr>
    <w:r>
      <w:rPr>
        <w:rFonts w:eastAsia="SimSun" w:hint="eastAsia"/>
        <w:sz w:val="22"/>
        <w:szCs w:val="22"/>
      </w:rPr>
      <w:t xml:space="preserve"> </w:t>
    </w:r>
    <w:r w:rsidRPr="00FB20CD">
      <w:rPr>
        <w:rFonts w:hint="eastAsia"/>
        <w:sz w:val="22"/>
        <w:szCs w:val="22"/>
      </w:rPr>
      <w:t>《攝大乘論講記》</w:t>
    </w:r>
  </w:p>
  <w:p w:rsidR="00E62BF8" w:rsidRPr="00E62BF8" w:rsidRDefault="00E62BF8" w:rsidP="005A1999">
    <w:pPr>
      <w:pStyle w:val="a8"/>
      <w:wordWrap w:val="0"/>
      <w:ind w:right="220"/>
      <w:jc w:val="right"/>
    </w:pPr>
    <w:r w:rsidRPr="00FB20CD">
      <w:rPr>
        <w:rFonts w:hint="eastAsia"/>
        <w:sz w:val="22"/>
        <w:szCs w:val="22"/>
      </w:rPr>
      <w:t>第</w:t>
    </w:r>
    <w:r>
      <w:rPr>
        <w:rFonts w:hint="eastAsia"/>
        <w:sz w:val="22"/>
        <w:szCs w:val="22"/>
      </w:rPr>
      <w:t>十</w:t>
    </w:r>
    <w:r w:rsidRPr="00FB20CD">
      <w:rPr>
        <w:rFonts w:hint="eastAsia"/>
        <w:sz w:val="22"/>
        <w:szCs w:val="22"/>
      </w:rPr>
      <w:t>章</w:t>
    </w:r>
    <w:r>
      <w:rPr>
        <w:rFonts w:eastAsia="SimSun" w:hint="eastAsia"/>
        <w:sz w:val="22"/>
        <w:szCs w:val="22"/>
      </w:rPr>
      <w:t xml:space="preserve"> </w:t>
    </w:r>
    <w:r w:rsidRPr="00FB20CD">
      <w:rPr>
        <w:rFonts w:eastAsia="SimSun" w:hint="eastAsia"/>
        <w:sz w:val="22"/>
        <w:szCs w:val="22"/>
      </w:rPr>
      <w:t xml:space="preserve"> </w:t>
    </w:r>
    <w:r>
      <w:rPr>
        <w:rFonts w:hint="eastAsia"/>
        <w:sz w:val="22"/>
        <w:szCs w:val="22"/>
      </w:rPr>
      <w:t>結說</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bordersDoNotSurroundHeader/>
  <w:bordersDoNotSurroundFooter/>
  <w:defaultTabStop w:val="480"/>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0D8A"/>
    <w:rsid w:val="00017742"/>
    <w:rsid w:val="00035506"/>
    <w:rsid w:val="00053556"/>
    <w:rsid w:val="00086DFC"/>
    <w:rsid w:val="000A3395"/>
    <w:rsid w:val="000B3F75"/>
    <w:rsid w:val="000E7D73"/>
    <w:rsid w:val="000F722D"/>
    <w:rsid w:val="00124555"/>
    <w:rsid w:val="001336D9"/>
    <w:rsid w:val="00185091"/>
    <w:rsid w:val="001F2044"/>
    <w:rsid w:val="001F4B77"/>
    <w:rsid w:val="0021246A"/>
    <w:rsid w:val="00220D8A"/>
    <w:rsid w:val="00245CD6"/>
    <w:rsid w:val="00280CAA"/>
    <w:rsid w:val="002E146F"/>
    <w:rsid w:val="00307FE4"/>
    <w:rsid w:val="003673D2"/>
    <w:rsid w:val="0038193D"/>
    <w:rsid w:val="00461253"/>
    <w:rsid w:val="00502A8A"/>
    <w:rsid w:val="0052548F"/>
    <w:rsid w:val="005627D9"/>
    <w:rsid w:val="00577C32"/>
    <w:rsid w:val="005A1999"/>
    <w:rsid w:val="005E3809"/>
    <w:rsid w:val="005F48AD"/>
    <w:rsid w:val="00643D03"/>
    <w:rsid w:val="00706516"/>
    <w:rsid w:val="00767768"/>
    <w:rsid w:val="008053F0"/>
    <w:rsid w:val="008C35FD"/>
    <w:rsid w:val="00991DB9"/>
    <w:rsid w:val="009A0276"/>
    <w:rsid w:val="009D47C4"/>
    <w:rsid w:val="009D5383"/>
    <w:rsid w:val="00A36FB4"/>
    <w:rsid w:val="00A47588"/>
    <w:rsid w:val="00A73022"/>
    <w:rsid w:val="00C30972"/>
    <w:rsid w:val="00CD7C7E"/>
    <w:rsid w:val="00CF22C3"/>
    <w:rsid w:val="00D81C50"/>
    <w:rsid w:val="00E47817"/>
    <w:rsid w:val="00E62BF8"/>
    <w:rsid w:val="00F144AC"/>
    <w:rsid w:val="00F67496"/>
    <w:rsid w:val="00F93271"/>
    <w:rsid w:val="00FA65AE"/>
    <w:rsid w:val="00FF458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BF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link w:val="A4"/>
    <w:autoRedefine/>
    <w:qFormat/>
    <w:rsid w:val="009D5383"/>
    <w:pPr>
      <w:ind w:leftChars="350" w:left="840"/>
    </w:pPr>
    <w:rPr>
      <w:b/>
      <w:sz w:val="22"/>
      <w:bdr w:val="single" w:sz="4" w:space="0" w:color="auto"/>
      <w:shd w:val="pct15" w:color="auto" w:fill="FFFFFF"/>
    </w:rPr>
  </w:style>
  <w:style w:type="character" w:customStyle="1" w:styleId="A4">
    <w:name w:val="（A） 字元"/>
    <w:basedOn w:val="a0"/>
    <w:link w:val="A3"/>
    <w:rsid w:val="009D5383"/>
    <w:rPr>
      <w:b/>
      <w:sz w:val="22"/>
      <w:bdr w:val="single" w:sz="4" w:space="0" w:color="auto"/>
    </w:rPr>
  </w:style>
  <w:style w:type="paragraph" w:styleId="a5">
    <w:name w:val="footnote text"/>
    <w:aliases w:val="註腳文字 字元 字元,註腳文字 字元 字元 字元 字元 字元 字元,註腳文字 字元 字元 字元 字元 字元,註腳文字 字元 字元 字元 字元,註腳文字 字元 字元 字元,註腳文字 字元 字元 字元 字元1 字元,註腳文字 字...,註腳１,註腳文字 字元 字元 字元 字元 字元 字元 字元 字元,註腳文字 字元 字元 字元 字元 字元 字元 字元 字元 字元 字元 字元 字元 字元,內文 + 註腳文字,註腳文字 字註腳文字,註腳文字註腳...,註腳文字 字元 字元 字元 字元...,註腳文"/>
    <w:basedOn w:val="a"/>
    <w:link w:val="a6"/>
    <w:unhideWhenUsed/>
    <w:qFormat/>
    <w:rsid w:val="00E62BF8"/>
    <w:pPr>
      <w:snapToGrid w:val="0"/>
    </w:pPr>
    <w:rPr>
      <w:sz w:val="20"/>
      <w:szCs w:val="20"/>
    </w:rPr>
  </w:style>
  <w:style w:type="character" w:customStyle="1" w:styleId="a6">
    <w:name w:val="註腳文字 字元"/>
    <w:aliases w:val="註腳文字 字元 字元 字元1,註腳文字 字元 字元 字元 字元 字元 字元 字元,註腳文字 字元 字元 字元 字元 字元 字元1,註腳文字 字元 字元 字元 字元 字元1,註腳文字 字元 字元 字元 字元1,註腳文字 字元 字元 字元 字元1 字元 字元,註腳文字 字... 字元,註腳１ 字元,註腳文字 字元 字元 字元 字元 字元 字元 字元 字元 字元,註腳文字 字元 字元 字元 字元 字元 字元 字元 字元 字元 字元 字元 字元 字元 字元,內文 + 註腳文字 字元"/>
    <w:basedOn w:val="a0"/>
    <w:link w:val="a5"/>
    <w:rsid w:val="00E62BF8"/>
    <w:rPr>
      <w:sz w:val="20"/>
      <w:szCs w:val="20"/>
    </w:rPr>
  </w:style>
  <w:style w:type="character" w:styleId="a7">
    <w:name w:val="footnote reference"/>
    <w:basedOn w:val="a0"/>
    <w:unhideWhenUsed/>
    <w:qFormat/>
    <w:rsid w:val="00E62BF8"/>
    <w:rPr>
      <w:vertAlign w:val="superscript"/>
    </w:rPr>
  </w:style>
  <w:style w:type="paragraph" w:styleId="a8">
    <w:name w:val="header"/>
    <w:basedOn w:val="a"/>
    <w:link w:val="a9"/>
    <w:uiPriority w:val="99"/>
    <w:unhideWhenUsed/>
    <w:rsid w:val="00E62BF8"/>
    <w:pPr>
      <w:tabs>
        <w:tab w:val="center" w:pos="4153"/>
        <w:tab w:val="right" w:pos="8306"/>
      </w:tabs>
      <w:snapToGrid w:val="0"/>
    </w:pPr>
    <w:rPr>
      <w:sz w:val="20"/>
      <w:szCs w:val="20"/>
    </w:rPr>
  </w:style>
  <w:style w:type="character" w:customStyle="1" w:styleId="a9">
    <w:name w:val="頁首 字元"/>
    <w:basedOn w:val="a0"/>
    <w:link w:val="a8"/>
    <w:uiPriority w:val="99"/>
    <w:rsid w:val="00E62BF8"/>
    <w:rPr>
      <w:sz w:val="20"/>
      <w:szCs w:val="20"/>
    </w:rPr>
  </w:style>
  <w:style w:type="paragraph" w:styleId="aa">
    <w:name w:val="footer"/>
    <w:basedOn w:val="a"/>
    <w:link w:val="ab"/>
    <w:uiPriority w:val="99"/>
    <w:unhideWhenUsed/>
    <w:rsid w:val="00E62BF8"/>
    <w:pPr>
      <w:tabs>
        <w:tab w:val="center" w:pos="4153"/>
        <w:tab w:val="right" w:pos="8306"/>
      </w:tabs>
      <w:snapToGrid w:val="0"/>
    </w:pPr>
    <w:rPr>
      <w:sz w:val="20"/>
      <w:szCs w:val="20"/>
    </w:rPr>
  </w:style>
  <w:style w:type="character" w:customStyle="1" w:styleId="ab">
    <w:name w:val="頁尾 字元"/>
    <w:basedOn w:val="a0"/>
    <w:link w:val="aa"/>
    <w:uiPriority w:val="99"/>
    <w:rsid w:val="00E62BF8"/>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BF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link w:val="A4"/>
    <w:autoRedefine/>
    <w:qFormat/>
    <w:rsid w:val="009D5383"/>
    <w:pPr>
      <w:ind w:leftChars="350" w:left="840"/>
    </w:pPr>
    <w:rPr>
      <w:b/>
      <w:sz w:val="22"/>
      <w:bdr w:val="single" w:sz="4" w:space="0" w:color="auto"/>
      <w:shd w:val="pct15" w:color="auto" w:fill="FFFFFF"/>
    </w:rPr>
  </w:style>
  <w:style w:type="character" w:customStyle="1" w:styleId="A4">
    <w:name w:val="（A） 字元"/>
    <w:basedOn w:val="a0"/>
    <w:link w:val="A3"/>
    <w:rsid w:val="009D5383"/>
    <w:rPr>
      <w:b/>
      <w:sz w:val="22"/>
      <w:bdr w:val="single" w:sz="4" w:space="0" w:color="auto"/>
    </w:rPr>
  </w:style>
  <w:style w:type="paragraph" w:styleId="a5">
    <w:name w:val="footnote text"/>
    <w:basedOn w:val="a"/>
    <w:link w:val="a6"/>
    <w:uiPriority w:val="99"/>
    <w:unhideWhenUsed/>
    <w:rsid w:val="00E62BF8"/>
    <w:pPr>
      <w:snapToGrid w:val="0"/>
    </w:pPr>
    <w:rPr>
      <w:sz w:val="20"/>
      <w:szCs w:val="20"/>
    </w:rPr>
  </w:style>
  <w:style w:type="character" w:customStyle="1" w:styleId="a6">
    <w:name w:val="註腳文字 字元"/>
    <w:basedOn w:val="a0"/>
    <w:link w:val="a5"/>
    <w:uiPriority w:val="99"/>
    <w:rsid w:val="00E62BF8"/>
    <w:rPr>
      <w:sz w:val="20"/>
      <w:szCs w:val="20"/>
    </w:rPr>
  </w:style>
  <w:style w:type="character" w:styleId="a7">
    <w:name w:val="footnote reference"/>
    <w:basedOn w:val="a0"/>
    <w:uiPriority w:val="99"/>
    <w:semiHidden/>
    <w:unhideWhenUsed/>
    <w:rsid w:val="00E62BF8"/>
    <w:rPr>
      <w:vertAlign w:val="superscript"/>
    </w:rPr>
  </w:style>
  <w:style w:type="paragraph" w:styleId="a8">
    <w:name w:val="header"/>
    <w:basedOn w:val="a"/>
    <w:link w:val="a9"/>
    <w:uiPriority w:val="99"/>
    <w:unhideWhenUsed/>
    <w:rsid w:val="00E62BF8"/>
    <w:pPr>
      <w:tabs>
        <w:tab w:val="center" w:pos="4153"/>
        <w:tab w:val="right" w:pos="8306"/>
      </w:tabs>
      <w:snapToGrid w:val="0"/>
    </w:pPr>
    <w:rPr>
      <w:sz w:val="20"/>
      <w:szCs w:val="20"/>
    </w:rPr>
  </w:style>
  <w:style w:type="character" w:customStyle="1" w:styleId="a9">
    <w:name w:val="頁首 字元"/>
    <w:basedOn w:val="a0"/>
    <w:link w:val="a8"/>
    <w:uiPriority w:val="99"/>
    <w:rsid w:val="00E62BF8"/>
    <w:rPr>
      <w:sz w:val="20"/>
      <w:szCs w:val="20"/>
    </w:rPr>
  </w:style>
  <w:style w:type="paragraph" w:styleId="aa">
    <w:name w:val="footer"/>
    <w:basedOn w:val="a"/>
    <w:link w:val="ab"/>
    <w:uiPriority w:val="99"/>
    <w:unhideWhenUsed/>
    <w:rsid w:val="00E62BF8"/>
    <w:pPr>
      <w:tabs>
        <w:tab w:val="center" w:pos="4153"/>
        <w:tab w:val="right" w:pos="8306"/>
      </w:tabs>
      <w:snapToGrid w:val="0"/>
    </w:pPr>
    <w:rPr>
      <w:sz w:val="20"/>
      <w:szCs w:val="20"/>
    </w:rPr>
  </w:style>
  <w:style w:type="character" w:customStyle="1" w:styleId="ab">
    <w:name w:val="頁尾 字元"/>
    <w:basedOn w:val="a0"/>
    <w:link w:val="aa"/>
    <w:uiPriority w:val="99"/>
    <w:rsid w:val="00E62BF8"/>
    <w:rPr>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00919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4FC03-4D61-453C-A61A-893BEDCD9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80</Words>
  <Characters>461</Characters>
  <Application>Microsoft Office Word</Application>
  <DocSecurity>0</DocSecurity>
  <Lines>3</Lines>
  <Paragraphs>1</Paragraphs>
  <ScaleCrop>false</ScaleCrop>
  <Company>Microsoft</Company>
  <LinksUpToDate>false</LinksUpToDate>
  <CharactersWithSpaces>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2018-04-29T10:20:00Z</dcterms:created>
  <dcterms:modified xsi:type="dcterms:W3CDTF">2018-06-13T07:19:00Z</dcterms:modified>
</cp:coreProperties>
</file>